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4D51" w:rsidRDefault="00EE4D51" w:rsidP="00EE4D51">
      <w:pPr>
        <w:spacing w:before="240" w:after="240"/>
        <w:rPr>
          <w:rFonts w:ascii="Adobe Caslon Pro Bold" w:hAnsi="Adobe Caslon Pro Bold" w:cs="Arial"/>
          <w:b/>
          <w:sz w:val="22"/>
          <w:szCs w:val="22"/>
          <w:lang w:val="es-MX" w:eastAsia="en-US"/>
        </w:rPr>
      </w:pPr>
    </w:p>
    <w:p w:rsidR="007315A2" w:rsidRPr="007315A2" w:rsidRDefault="007315A2" w:rsidP="00F40252">
      <w:pPr>
        <w:spacing w:before="240" w:after="240"/>
        <w:jc w:val="center"/>
        <w:rPr>
          <w:rFonts w:ascii="Adobe Caslon Pro Bold" w:hAnsi="Adobe Caslon Pro Bold" w:cs="Arial"/>
          <w:b/>
          <w:sz w:val="22"/>
          <w:szCs w:val="22"/>
          <w:lang w:val="es-MX" w:eastAsia="en-US"/>
        </w:rPr>
      </w:pPr>
      <w:r w:rsidRPr="007315A2">
        <w:rPr>
          <w:rFonts w:ascii="Adobe Caslon Pro Bold" w:hAnsi="Adobe Caslon Pro Bold" w:cs="Arial"/>
          <w:b/>
          <w:sz w:val="22"/>
          <w:szCs w:val="22"/>
          <w:lang w:val="es-MX" w:eastAsia="en-US"/>
        </w:rPr>
        <w:t>ESPECIFICACIONES PARTICULARES</w:t>
      </w:r>
    </w:p>
    <w:p w:rsidR="007315A2" w:rsidRPr="006E3591" w:rsidRDefault="007315A2" w:rsidP="006E3591">
      <w:pPr>
        <w:spacing w:before="240" w:after="240"/>
        <w:jc w:val="both"/>
        <w:rPr>
          <w:rFonts w:ascii="Adobe Caslon Pro" w:hAnsi="Adobe Caslon Pro" w:cs="Arial"/>
          <w:sz w:val="22"/>
          <w:szCs w:val="22"/>
          <w:lang w:val="es-MX" w:eastAsia="en-US"/>
        </w:rPr>
      </w:pPr>
      <w:r w:rsidRPr="00535446">
        <w:rPr>
          <w:rFonts w:ascii="Adobe Caslon Pro" w:hAnsi="Adobe Caslon Pro" w:cs="Arial"/>
          <w:sz w:val="22"/>
          <w:szCs w:val="22"/>
          <w:lang w:val="es-MX" w:eastAsia="en-US"/>
        </w:rPr>
        <w:t xml:space="preserve">Los Licitantes deberán cumplir y tomar en cuenta para la elaboración de sus Proposiciones, con las presentes especificaciones particulares en conjunto con los Términos de Referencia y lo </w:t>
      </w:r>
      <w:r w:rsidRPr="006E5239">
        <w:rPr>
          <w:rFonts w:ascii="Adobe Caslon Pro" w:hAnsi="Adobe Caslon Pro" w:cs="Arial"/>
          <w:sz w:val="22"/>
          <w:szCs w:val="22"/>
          <w:lang w:val="es-MX" w:eastAsia="en-US"/>
        </w:rPr>
        <w:t xml:space="preserve">contenido en la </w:t>
      </w:r>
      <w:r w:rsidR="006E3591" w:rsidRPr="006E5239">
        <w:rPr>
          <w:rFonts w:ascii="Adobe Caslon Pro" w:hAnsi="Adobe Caslon Pro" w:cs="Arial"/>
          <w:b/>
          <w:sz w:val="22"/>
          <w:szCs w:val="22"/>
          <w:lang w:val="es-MX" w:eastAsia="en-US"/>
        </w:rPr>
        <w:t>FORMA</w:t>
      </w:r>
      <w:r w:rsidRPr="006E5239">
        <w:rPr>
          <w:rFonts w:ascii="Adobe Caslon Pro" w:hAnsi="Adobe Caslon Pro" w:cs="Arial"/>
          <w:b/>
          <w:sz w:val="22"/>
          <w:szCs w:val="22"/>
          <w:lang w:val="es-MX" w:eastAsia="en-US"/>
        </w:rPr>
        <w:t xml:space="preserve"> E-7</w:t>
      </w:r>
      <w:r w:rsidRPr="006E5239">
        <w:rPr>
          <w:rFonts w:ascii="Adobe Caslon Pro" w:hAnsi="Adobe Caslon Pro" w:cs="Arial"/>
          <w:sz w:val="22"/>
          <w:szCs w:val="22"/>
          <w:lang w:val="es-MX" w:eastAsia="en-US"/>
        </w:rPr>
        <w:t>,</w:t>
      </w:r>
      <w:r w:rsidRPr="00535446">
        <w:rPr>
          <w:rFonts w:ascii="Adobe Caslon Pro" w:hAnsi="Adobe Caslon Pro" w:cs="Arial"/>
          <w:sz w:val="22"/>
          <w:szCs w:val="22"/>
          <w:lang w:val="es-MX" w:eastAsia="en-US"/>
        </w:rPr>
        <w:t xml:space="preserve"> en donde se reflejarán las mismas.</w:t>
      </w:r>
    </w:p>
    <w:p w:rsidR="007315A2" w:rsidRPr="00AC6791" w:rsidRDefault="00EE4D51" w:rsidP="006E3591">
      <w:pPr>
        <w:spacing w:before="240" w:after="240"/>
        <w:jc w:val="both"/>
        <w:rPr>
          <w:rFonts w:ascii="Adobe Caslon Pro" w:hAnsi="Adobe Caslon Pro" w:cs="Arial"/>
          <w:b/>
          <w:sz w:val="22"/>
          <w:szCs w:val="22"/>
          <w:u w:val="single"/>
          <w:lang w:val="es-MX" w:eastAsia="en-US"/>
        </w:rPr>
      </w:pPr>
      <w:r w:rsidRPr="00F40252">
        <w:rPr>
          <w:rFonts w:ascii="Adobe Caslon Pro" w:hAnsi="Adobe Caslon Pro" w:cs="Arial"/>
          <w:b/>
          <w:sz w:val="22"/>
          <w:szCs w:val="22"/>
          <w:u w:val="single"/>
          <w:lang w:val="es-MX" w:eastAsia="en-US"/>
        </w:rPr>
        <w:t>E.P-</w:t>
      </w:r>
      <w:r w:rsidR="007315A2" w:rsidRPr="00F40252">
        <w:rPr>
          <w:rFonts w:ascii="Adobe Caslon Pro" w:hAnsi="Adobe Caslon Pro" w:cs="Arial"/>
          <w:b/>
          <w:sz w:val="22"/>
          <w:szCs w:val="22"/>
          <w:u w:val="single"/>
          <w:lang w:val="es-MX" w:eastAsia="en-US"/>
        </w:rPr>
        <w:t xml:space="preserve">1 REVISIÓN Y VERIFICACIÓN DE LA INTEGRACIÓN DE </w:t>
      </w:r>
      <w:r w:rsidR="001E0573" w:rsidRPr="00F40252">
        <w:rPr>
          <w:rFonts w:ascii="Adobe Caslon Pro" w:hAnsi="Adobe Caslon Pro" w:cs="Arial"/>
          <w:b/>
          <w:sz w:val="22"/>
          <w:szCs w:val="22"/>
          <w:u w:val="single"/>
          <w:lang w:val="es-MX" w:eastAsia="en-US"/>
        </w:rPr>
        <w:t xml:space="preserve">51 </w:t>
      </w:r>
      <w:r w:rsidR="007315A2" w:rsidRPr="00F40252">
        <w:rPr>
          <w:rFonts w:ascii="Adobe Caslon Pro" w:hAnsi="Adobe Caslon Pro" w:cs="Arial"/>
          <w:b/>
          <w:sz w:val="22"/>
          <w:szCs w:val="22"/>
          <w:u w:val="single"/>
          <w:lang w:val="es-MX" w:eastAsia="en-US"/>
        </w:rPr>
        <w:t>EXPEDIENTES DE LIBERACIÓN DE DERECHO DE VÍA</w:t>
      </w:r>
      <w:r w:rsidR="007315A2" w:rsidRPr="006E5239">
        <w:rPr>
          <w:rFonts w:ascii="Adobe Caslon Pro" w:hAnsi="Adobe Caslon Pro" w:cs="Arial"/>
          <w:b/>
          <w:sz w:val="22"/>
          <w:szCs w:val="22"/>
          <w:u w:val="single"/>
          <w:lang w:val="es-MX" w:eastAsia="en-US"/>
        </w:rPr>
        <w:t>.</w:t>
      </w:r>
      <w:r w:rsidR="007315A2" w:rsidRPr="00AC6791">
        <w:rPr>
          <w:rFonts w:ascii="Adobe Caslon Pro" w:hAnsi="Adobe Caslon Pro" w:cs="Arial"/>
          <w:b/>
          <w:sz w:val="22"/>
          <w:szCs w:val="22"/>
          <w:u w:val="single"/>
          <w:lang w:val="es-MX" w:eastAsia="en-US"/>
        </w:rPr>
        <w:t xml:space="preserve"> </w:t>
      </w:r>
    </w:p>
    <w:p w:rsidR="007315A2" w:rsidRPr="00535446" w:rsidRDefault="007315A2" w:rsidP="006E3591">
      <w:pPr>
        <w:spacing w:before="240" w:after="240"/>
        <w:jc w:val="both"/>
        <w:rPr>
          <w:rFonts w:ascii="Adobe Caslon Pro" w:hAnsi="Adobe Caslon Pro" w:cs="Arial"/>
          <w:sz w:val="22"/>
          <w:szCs w:val="22"/>
          <w:u w:val="single"/>
          <w:lang w:val="es-MX" w:eastAsia="en-US"/>
        </w:rPr>
      </w:pPr>
      <w:r w:rsidRPr="00AC6791">
        <w:rPr>
          <w:rFonts w:ascii="Adobe Caslon Pro" w:hAnsi="Adobe Caslon Pro" w:cs="Arial"/>
          <w:b/>
          <w:sz w:val="22"/>
          <w:szCs w:val="22"/>
          <w:u w:val="single"/>
          <w:lang w:val="es-MX" w:eastAsia="en-US"/>
        </w:rPr>
        <w:t>EJECUCIÓN:</w:t>
      </w:r>
    </w:p>
    <w:p w:rsidR="007315A2" w:rsidRPr="00AC6791" w:rsidRDefault="007315A2" w:rsidP="006E3591">
      <w:pPr>
        <w:autoSpaceDE w:val="0"/>
        <w:autoSpaceDN w:val="0"/>
        <w:adjustRightInd w:val="0"/>
        <w:spacing w:before="240" w:after="240"/>
        <w:jc w:val="both"/>
        <w:rPr>
          <w:rFonts w:ascii="Adobe Caslon Pro" w:hAnsi="Adobe Caslon Pro" w:cs="Arial"/>
          <w:sz w:val="22"/>
          <w:szCs w:val="22"/>
          <w:lang w:val="es-MX" w:eastAsia="en-US"/>
        </w:rPr>
      </w:pPr>
      <w:r w:rsidRPr="00AC6791">
        <w:rPr>
          <w:rFonts w:ascii="Adobe Caslon Pro" w:hAnsi="Adobe Caslon Pro" w:cs="Arial"/>
          <w:sz w:val="22"/>
          <w:szCs w:val="22"/>
          <w:lang w:val="es-MX" w:eastAsia="en-US"/>
        </w:rPr>
        <w:t>Para el caso de los expedientes de liberación, se deberá verificar y revisar la correcta integración de l</w:t>
      </w:r>
      <w:r w:rsidR="006E5239">
        <w:rPr>
          <w:rFonts w:ascii="Adobe Caslon Pro" w:hAnsi="Adobe Caslon Pro" w:cs="Arial"/>
          <w:sz w:val="22"/>
          <w:szCs w:val="22"/>
          <w:lang w:val="es-MX" w:eastAsia="en-US"/>
        </w:rPr>
        <w:t>os documentos técnicos y jurídicos</w:t>
      </w:r>
      <w:r w:rsidRPr="00AC6791">
        <w:rPr>
          <w:rFonts w:ascii="Adobe Caslon Pro" w:hAnsi="Adobe Caslon Pro" w:cs="Arial"/>
          <w:sz w:val="22"/>
          <w:szCs w:val="22"/>
          <w:lang w:val="es-MX" w:eastAsia="en-US"/>
        </w:rPr>
        <w:t xml:space="preserve"> de los predios afectados por el derecho de vía. </w:t>
      </w:r>
    </w:p>
    <w:p w:rsidR="006E3591" w:rsidRDefault="00291662" w:rsidP="006E3591">
      <w:pPr>
        <w:autoSpaceDE w:val="0"/>
        <w:autoSpaceDN w:val="0"/>
        <w:adjustRightInd w:val="0"/>
        <w:spacing w:before="240" w:after="240"/>
        <w:jc w:val="both"/>
        <w:rPr>
          <w:rFonts w:ascii="Adobe Caslon Pro" w:hAnsi="Adobe Caslon Pro" w:cs="Arial"/>
          <w:sz w:val="22"/>
          <w:szCs w:val="22"/>
          <w:lang w:val="es-MX" w:eastAsia="en-US"/>
        </w:rPr>
      </w:pPr>
      <w:r>
        <w:rPr>
          <w:rFonts w:ascii="Adobe Caslon Pro" w:hAnsi="Adobe Caslon Pro" w:cs="Arial"/>
          <w:sz w:val="22"/>
          <w:szCs w:val="22"/>
          <w:lang w:val="es-MX" w:eastAsia="en-US"/>
        </w:rPr>
        <w:t xml:space="preserve">Para el caso del </w:t>
      </w:r>
      <w:r w:rsidRPr="003A17B7">
        <w:rPr>
          <w:rFonts w:ascii="Adobe Caslon Pro" w:hAnsi="Adobe Caslon Pro" w:cs="Arial"/>
          <w:b/>
          <w:sz w:val="22"/>
          <w:szCs w:val="22"/>
          <w:lang w:val="es-MX" w:eastAsia="en-US"/>
        </w:rPr>
        <w:t xml:space="preserve">Dictamen </w:t>
      </w:r>
      <w:r w:rsidR="003A17B7" w:rsidRPr="003A17B7">
        <w:rPr>
          <w:rFonts w:ascii="Adobe Caslon Pro" w:hAnsi="Adobe Caslon Pro" w:cs="Arial"/>
          <w:b/>
          <w:sz w:val="22"/>
          <w:szCs w:val="22"/>
          <w:lang w:val="es-MX" w:eastAsia="en-US"/>
        </w:rPr>
        <w:t>Técnico</w:t>
      </w:r>
      <w:r>
        <w:rPr>
          <w:rFonts w:ascii="Adobe Caslon Pro" w:hAnsi="Adobe Caslon Pro" w:cs="Arial"/>
          <w:sz w:val="22"/>
          <w:szCs w:val="22"/>
          <w:lang w:val="es-MX" w:eastAsia="en-US"/>
        </w:rPr>
        <w:t xml:space="preserve">, el </w:t>
      </w:r>
      <w:r w:rsidRPr="004011F1">
        <w:rPr>
          <w:rFonts w:ascii="Adobe Caslon Pro" w:hAnsi="Adobe Caslon Pro" w:cs="Arial"/>
          <w:sz w:val="22"/>
          <w:szCs w:val="22"/>
          <w:lang w:val="es-MX" w:eastAsia="en-US"/>
        </w:rPr>
        <w:t>"El Prestador de Servicio"</w:t>
      </w:r>
      <w:r>
        <w:rPr>
          <w:rFonts w:ascii="Adobe Caslon Pro" w:hAnsi="Adobe Caslon Pro" w:cs="Arial"/>
          <w:sz w:val="22"/>
          <w:szCs w:val="22"/>
          <w:lang w:val="es-MX" w:eastAsia="en-US"/>
        </w:rPr>
        <w:t xml:space="preserve"> deberá </w:t>
      </w:r>
      <w:r w:rsidR="006E3591">
        <w:rPr>
          <w:rFonts w:ascii="Adobe Caslon Pro" w:hAnsi="Adobe Caslon Pro" w:cs="Arial"/>
          <w:sz w:val="22"/>
          <w:szCs w:val="22"/>
          <w:lang w:val="es-MX" w:eastAsia="en-US"/>
        </w:rPr>
        <w:t>v</w:t>
      </w:r>
      <w:r w:rsidR="007315A2" w:rsidRPr="00AC6791">
        <w:rPr>
          <w:rFonts w:ascii="Adobe Caslon Pro" w:hAnsi="Adobe Caslon Pro" w:cs="Arial"/>
          <w:sz w:val="22"/>
          <w:szCs w:val="22"/>
          <w:lang w:val="es-MX" w:eastAsia="en-US"/>
        </w:rPr>
        <w:t>erificar y revisar el contenido de las fichas de afectación con base</w:t>
      </w:r>
      <w:r w:rsidR="007315A2" w:rsidRPr="00FE02BE">
        <w:rPr>
          <w:rFonts w:ascii="Adobe Caslon Pro" w:hAnsi="Adobe Caslon Pro" w:cs="Arial"/>
          <w:sz w:val="22"/>
          <w:szCs w:val="22"/>
          <w:lang w:val="es-MX" w:eastAsia="en-US"/>
        </w:rPr>
        <w:t xml:space="preserve"> en la información proporcionada</w:t>
      </w:r>
      <w:r w:rsidR="006E3591" w:rsidRPr="00FE02BE">
        <w:rPr>
          <w:rFonts w:ascii="Adobe Caslon Pro" w:hAnsi="Adobe Caslon Pro" w:cs="Arial"/>
          <w:sz w:val="22"/>
          <w:szCs w:val="22"/>
          <w:lang w:val="es-MX" w:eastAsia="en-US"/>
        </w:rPr>
        <w:t xml:space="preserve"> por la dependencia</w:t>
      </w:r>
      <w:r w:rsidR="007315A2" w:rsidRPr="00AC6791">
        <w:rPr>
          <w:rFonts w:ascii="Adobe Caslon Pro" w:hAnsi="Adobe Caslon Pro" w:cs="Arial"/>
          <w:sz w:val="22"/>
          <w:szCs w:val="22"/>
          <w:lang w:val="es-MX" w:eastAsia="en-US"/>
        </w:rPr>
        <w:t>, que contenga toda la información en la carátula de la ficha, inventario de la afectación, datos de la afectación, bienes distintos a la tierra, tenencia de la tierra, cuadros de construcción de la afectación, georreferenciaciones, coordenadas UTM y demás información técnica del predio, plano de la afectación y plano del predio. Cotejada contra la escritura o título que determine la propiedad del predio, emitiendo</w:t>
      </w:r>
      <w:r w:rsidR="006E3591" w:rsidRPr="006E3591">
        <w:rPr>
          <w:rFonts w:ascii="Adobe Caslon Pro" w:hAnsi="Adobe Caslon Pro" w:cs="Arial"/>
          <w:color w:val="FF0000"/>
          <w:sz w:val="22"/>
          <w:szCs w:val="22"/>
          <w:lang w:val="es-MX" w:eastAsia="en-US"/>
        </w:rPr>
        <w:t xml:space="preserve"> </w:t>
      </w:r>
      <w:r w:rsidR="007315A2" w:rsidRPr="00AC6791">
        <w:rPr>
          <w:rFonts w:ascii="Adobe Caslon Pro" w:hAnsi="Adobe Caslon Pro" w:cs="Arial"/>
          <w:sz w:val="22"/>
          <w:szCs w:val="22"/>
          <w:lang w:val="es-MX" w:eastAsia="en-US"/>
        </w:rPr>
        <w:t>un reporte de validación de la información present</w:t>
      </w:r>
      <w:r>
        <w:rPr>
          <w:rFonts w:ascii="Adobe Caslon Pro" w:hAnsi="Adobe Caslon Pro" w:cs="Arial"/>
          <w:sz w:val="22"/>
          <w:szCs w:val="22"/>
          <w:lang w:val="es-MX" w:eastAsia="en-US"/>
        </w:rPr>
        <w:t xml:space="preserve">ada en las fichas de afectación, todo esto deberá estar reflejado </w:t>
      </w:r>
      <w:r w:rsidRPr="00AC6791">
        <w:rPr>
          <w:rFonts w:ascii="Adobe Caslon Pro" w:hAnsi="Adobe Caslon Pro" w:cs="Arial"/>
          <w:sz w:val="22"/>
          <w:szCs w:val="22"/>
          <w:lang w:val="es-MX" w:eastAsia="en-US"/>
        </w:rPr>
        <w:t xml:space="preserve">en un </w:t>
      </w:r>
      <w:r>
        <w:rPr>
          <w:rFonts w:ascii="Adobe Caslon Pro" w:hAnsi="Adobe Caslon Pro" w:cs="Arial"/>
          <w:sz w:val="22"/>
          <w:szCs w:val="22"/>
          <w:lang w:val="es-MX" w:eastAsia="en-US"/>
        </w:rPr>
        <w:t xml:space="preserve">dictamen </w:t>
      </w:r>
      <w:r w:rsidRPr="00AC6791">
        <w:rPr>
          <w:rFonts w:ascii="Adobe Caslon Pro" w:hAnsi="Adobe Caslon Pro" w:cs="Arial"/>
          <w:sz w:val="22"/>
          <w:szCs w:val="22"/>
          <w:lang w:val="es-MX" w:eastAsia="en-US"/>
        </w:rPr>
        <w:t>de control</w:t>
      </w:r>
      <w:r>
        <w:rPr>
          <w:rFonts w:ascii="Adobe Caslon Pro" w:hAnsi="Adobe Caslon Pro" w:cs="Arial"/>
          <w:sz w:val="22"/>
          <w:szCs w:val="22"/>
          <w:lang w:val="es-MX" w:eastAsia="en-US"/>
        </w:rPr>
        <w:t xml:space="preserve"> </w:t>
      </w:r>
      <w:r w:rsidRPr="00AC6791">
        <w:rPr>
          <w:rFonts w:ascii="Adobe Caslon Pro" w:hAnsi="Adobe Caslon Pro" w:cs="Arial"/>
          <w:sz w:val="22"/>
          <w:szCs w:val="22"/>
          <w:lang w:val="es-MX" w:eastAsia="en-US"/>
        </w:rPr>
        <w:t>que permitirá conocer l</w:t>
      </w:r>
      <w:r>
        <w:rPr>
          <w:rFonts w:ascii="Adobe Caslon Pro" w:hAnsi="Adobe Caslon Pro" w:cs="Arial"/>
          <w:sz w:val="22"/>
          <w:szCs w:val="22"/>
          <w:lang w:val="es-MX" w:eastAsia="en-US"/>
        </w:rPr>
        <w:t xml:space="preserve">a información </w:t>
      </w:r>
      <w:r w:rsidRPr="00AC6791">
        <w:rPr>
          <w:rFonts w:ascii="Adobe Caslon Pro" w:hAnsi="Adobe Caslon Pro" w:cs="Arial"/>
          <w:sz w:val="22"/>
          <w:szCs w:val="22"/>
          <w:lang w:val="es-MX" w:eastAsia="en-US"/>
        </w:rPr>
        <w:t>con l</w:t>
      </w:r>
      <w:r>
        <w:rPr>
          <w:rFonts w:ascii="Adobe Caslon Pro" w:hAnsi="Adobe Caslon Pro" w:cs="Arial"/>
          <w:sz w:val="22"/>
          <w:szCs w:val="22"/>
          <w:lang w:val="es-MX" w:eastAsia="en-US"/>
        </w:rPr>
        <w:t>a</w:t>
      </w:r>
      <w:r w:rsidRPr="00AC6791">
        <w:rPr>
          <w:rFonts w:ascii="Adobe Caslon Pro" w:hAnsi="Adobe Caslon Pro" w:cs="Arial"/>
          <w:sz w:val="22"/>
          <w:szCs w:val="22"/>
          <w:lang w:val="es-MX" w:eastAsia="en-US"/>
        </w:rPr>
        <w:t xml:space="preserve"> que se cuenta por cada expediente de afectación</w:t>
      </w:r>
      <w:r w:rsidR="006E3591">
        <w:rPr>
          <w:rFonts w:ascii="Adobe Caslon Pro" w:hAnsi="Adobe Caslon Pro" w:cs="Arial"/>
          <w:sz w:val="22"/>
          <w:szCs w:val="22"/>
          <w:lang w:val="es-MX" w:eastAsia="en-US"/>
        </w:rPr>
        <w:t>.</w:t>
      </w:r>
      <w:r w:rsidR="006E3591" w:rsidRPr="006E3591">
        <w:rPr>
          <w:rFonts w:ascii="Adobe Caslon Pro" w:hAnsi="Adobe Caslon Pro" w:cs="Arial"/>
          <w:sz w:val="22"/>
          <w:szCs w:val="22"/>
          <w:lang w:val="es-MX" w:eastAsia="en-US"/>
        </w:rPr>
        <w:t xml:space="preserve"> </w:t>
      </w:r>
    </w:p>
    <w:p w:rsidR="003A17B7" w:rsidRDefault="007315A2" w:rsidP="006E3591">
      <w:pPr>
        <w:autoSpaceDE w:val="0"/>
        <w:autoSpaceDN w:val="0"/>
        <w:adjustRightInd w:val="0"/>
        <w:spacing w:before="240" w:after="240"/>
        <w:jc w:val="both"/>
        <w:rPr>
          <w:rFonts w:ascii="Adobe Caslon Pro" w:hAnsi="Adobe Caslon Pro" w:cs="Arial"/>
          <w:sz w:val="22"/>
          <w:szCs w:val="22"/>
          <w:lang w:val="es-MX" w:eastAsia="en-US"/>
        </w:rPr>
      </w:pPr>
      <w:r w:rsidRPr="00AC6791">
        <w:rPr>
          <w:rFonts w:ascii="Adobe Caslon Pro" w:hAnsi="Adobe Caslon Pro" w:cs="Arial"/>
          <w:sz w:val="22"/>
          <w:szCs w:val="22"/>
          <w:lang w:val="es-MX" w:eastAsia="en-US"/>
        </w:rPr>
        <w:t>Para los casos de pequeña propiedad de manera enunciativa y no limitativa,</w:t>
      </w:r>
      <w:r w:rsidR="003A17B7">
        <w:rPr>
          <w:rFonts w:ascii="Adobe Caslon Pro" w:hAnsi="Adobe Caslon Pro" w:cs="Arial"/>
          <w:sz w:val="22"/>
          <w:szCs w:val="22"/>
          <w:lang w:val="es-MX" w:eastAsia="en-US"/>
        </w:rPr>
        <w:t xml:space="preserve"> la información deberá estar presentada en un </w:t>
      </w:r>
      <w:r w:rsidR="003A17B7" w:rsidRPr="003A17B7">
        <w:rPr>
          <w:rFonts w:ascii="Adobe Caslon Pro" w:hAnsi="Adobe Caslon Pro" w:cs="Arial"/>
          <w:b/>
          <w:sz w:val="22"/>
          <w:szCs w:val="22"/>
          <w:lang w:val="es-MX" w:eastAsia="en-US"/>
        </w:rPr>
        <w:t xml:space="preserve">Dictamen </w:t>
      </w:r>
      <w:r w:rsidR="001E0573" w:rsidRPr="003A17B7">
        <w:rPr>
          <w:rFonts w:ascii="Adobe Caslon Pro" w:hAnsi="Adobe Caslon Pro" w:cs="Arial"/>
          <w:b/>
          <w:sz w:val="22"/>
          <w:szCs w:val="22"/>
          <w:lang w:val="es-MX" w:eastAsia="en-US"/>
        </w:rPr>
        <w:t>Jurídico</w:t>
      </w:r>
      <w:r w:rsidR="003A17B7">
        <w:rPr>
          <w:rFonts w:ascii="Adobe Caslon Pro" w:hAnsi="Adobe Caslon Pro" w:cs="Arial"/>
          <w:sz w:val="22"/>
          <w:szCs w:val="22"/>
          <w:lang w:val="es-MX" w:eastAsia="en-US"/>
        </w:rPr>
        <w:t xml:space="preserve"> r</w:t>
      </w:r>
      <w:r w:rsidR="003A17B7" w:rsidRPr="00AC6791">
        <w:rPr>
          <w:rFonts w:ascii="Adobe Caslon Pro" w:hAnsi="Adobe Caslon Pro" w:cs="Arial"/>
          <w:sz w:val="22"/>
          <w:szCs w:val="22"/>
          <w:lang w:val="es-MX" w:eastAsia="en-US"/>
        </w:rPr>
        <w:t>eflejando</w:t>
      </w:r>
      <w:r w:rsidR="003A17B7">
        <w:rPr>
          <w:rFonts w:ascii="Adobe Caslon Pro" w:hAnsi="Adobe Caslon Pro" w:cs="Arial"/>
          <w:sz w:val="22"/>
          <w:szCs w:val="22"/>
          <w:lang w:val="es-MX" w:eastAsia="en-US"/>
        </w:rPr>
        <w:t xml:space="preserve"> </w:t>
      </w:r>
      <w:r w:rsidR="003A17B7" w:rsidRPr="00AC6791">
        <w:rPr>
          <w:rFonts w:ascii="Adobe Caslon Pro" w:hAnsi="Adobe Caslon Pro" w:cs="Arial"/>
          <w:sz w:val="22"/>
          <w:szCs w:val="22"/>
          <w:lang w:val="es-MX" w:eastAsia="en-US"/>
        </w:rPr>
        <w:t>anexo al expediente, que permitirá conocer los documentos con los que se cuenta por cada expediente de afectación.</w:t>
      </w:r>
    </w:p>
    <w:p w:rsidR="007315A2" w:rsidRPr="00AC6791" w:rsidRDefault="003A17B7" w:rsidP="006E3591">
      <w:pPr>
        <w:autoSpaceDE w:val="0"/>
        <w:autoSpaceDN w:val="0"/>
        <w:adjustRightInd w:val="0"/>
        <w:spacing w:before="240" w:after="240"/>
        <w:jc w:val="both"/>
        <w:rPr>
          <w:rFonts w:ascii="Adobe Caslon Pro" w:hAnsi="Adobe Caslon Pro" w:cs="Arial"/>
          <w:sz w:val="22"/>
          <w:szCs w:val="22"/>
          <w:lang w:val="es-MX" w:eastAsia="en-US"/>
        </w:rPr>
      </w:pPr>
      <w:r w:rsidRPr="00AC6791">
        <w:rPr>
          <w:rFonts w:ascii="Adobe Caslon Pro" w:hAnsi="Adobe Caslon Pro" w:cs="Arial"/>
          <w:sz w:val="22"/>
          <w:szCs w:val="22"/>
          <w:lang w:val="es-MX" w:eastAsia="en-US"/>
        </w:rPr>
        <w:t>El</w:t>
      </w:r>
      <w:r w:rsidR="007315A2" w:rsidRPr="00AC6791">
        <w:rPr>
          <w:rFonts w:ascii="Adobe Caslon Pro" w:hAnsi="Adobe Caslon Pro" w:cs="Arial"/>
          <w:sz w:val="22"/>
          <w:szCs w:val="22"/>
          <w:lang w:val="es-MX" w:eastAsia="en-US"/>
        </w:rPr>
        <w:t xml:space="preserve"> expediente deberá contener título que acredite la propiedad, certificado de libertad de gravamen, identificación (es) oficial(es) de los propietarios, acta de matrimonio (si aplica), comprobante de pago de predial actualizado, avalúos de la tierra y de </w:t>
      </w:r>
      <w:proofErr w:type="spellStart"/>
      <w:r w:rsidR="007315A2" w:rsidRPr="00AC6791">
        <w:rPr>
          <w:rFonts w:ascii="Adobe Caslon Pro" w:hAnsi="Adobe Caslon Pro" w:cs="Arial"/>
          <w:sz w:val="22"/>
          <w:szCs w:val="22"/>
          <w:lang w:val="es-MX" w:eastAsia="en-US"/>
        </w:rPr>
        <w:t>BDT’s</w:t>
      </w:r>
      <w:proofErr w:type="spellEnd"/>
      <w:r w:rsidR="007315A2" w:rsidRPr="00AC6791">
        <w:rPr>
          <w:rFonts w:ascii="Adobe Caslon Pro" w:hAnsi="Adobe Caslon Pro" w:cs="Arial"/>
          <w:sz w:val="22"/>
          <w:szCs w:val="22"/>
          <w:lang w:val="es-MX" w:eastAsia="en-US"/>
        </w:rPr>
        <w:t xml:space="preserve"> con base en los avalúos del INDAABIN, ficha técnica de afectación, contrato promesa de compra-venta, entre otros. </w:t>
      </w:r>
    </w:p>
    <w:p w:rsidR="007315A2" w:rsidRPr="00AC6791" w:rsidRDefault="007315A2" w:rsidP="006E3591">
      <w:pPr>
        <w:autoSpaceDE w:val="0"/>
        <w:autoSpaceDN w:val="0"/>
        <w:adjustRightInd w:val="0"/>
        <w:spacing w:before="240" w:after="240"/>
        <w:jc w:val="both"/>
        <w:rPr>
          <w:rFonts w:ascii="Adobe Caslon Pro" w:hAnsi="Adobe Caslon Pro" w:cs="Arial"/>
          <w:sz w:val="22"/>
          <w:szCs w:val="22"/>
          <w:lang w:val="es-MX" w:eastAsia="en-US"/>
        </w:rPr>
      </w:pPr>
      <w:r w:rsidRPr="00AC6791">
        <w:rPr>
          <w:rFonts w:ascii="Adobe Caslon Pro" w:hAnsi="Adobe Caslon Pro" w:cs="Arial"/>
          <w:sz w:val="22"/>
          <w:szCs w:val="22"/>
          <w:lang w:val="es-MX" w:eastAsia="en-US"/>
        </w:rPr>
        <w:t xml:space="preserve">Para los casos de terrenos ejidales de manera enunciativa y no limitativa deberá contener certificado parcelario, acta de asamblea ejidal, convenio de ocupación previa, ficha técnica de afectación, avalúos de la tierra y de </w:t>
      </w:r>
      <w:proofErr w:type="spellStart"/>
      <w:r w:rsidRPr="00AC6791">
        <w:rPr>
          <w:rFonts w:ascii="Adobe Caslon Pro" w:hAnsi="Adobe Caslon Pro" w:cs="Arial"/>
          <w:sz w:val="22"/>
          <w:szCs w:val="22"/>
          <w:lang w:val="es-MX" w:eastAsia="en-US"/>
        </w:rPr>
        <w:t>BDT’s</w:t>
      </w:r>
      <w:proofErr w:type="spellEnd"/>
      <w:r w:rsidRPr="00AC6791">
        <w:rPr>
          <w:rFonts w:ascii="Adobe Caslon Pro" w:hAnsi="Adobe Caslon Pro" w:cs="Arial"/>
          <w:sz w:val="22"/>
          <w:szCs w:val="22"/>
          <w:lang w:val="es-MX" w:eastAsia="en-US"/>
        </w:rPr>
        <w:t xml:space="preserve"> con base en el avalúo de INDAABIN, entre otros. </w:t>
      </w:r>
    </w:p>
    <w:p w:rsidR="007315A2" w:rsidRDefault="007315A2" w:rsidP="006E3591">
      <w:pPr>
        <w:autoSpaceDE w:val="0"/>
        <w:autoSpaceDN w:val="0"/>
        <w:adjustRightInd w:val="0"/>
        <w:spacing w:before="240" w:after="240"/>
        <w:jc w:val="both"/>
        <w:rPr>
          <w:rFonts w:ascii="Adobe Caslon Pro" w:hAnsi="Adobe Caslon Pro" w:cs="Arial"/>
          <w:sz w:val="22"/>
          <w:szCs w:val="22"/>
          <w:lang w:val="es-MX" w:eastAsia="en-US"/>
        </w:rPr>
      </w:pPr>
      <w:r w:rsidRPr="00AC6791">
        <w:rPr>
          <w:rFonts w:ascii="Adobe Caslon Pro" w:hAnsi="Adobe Caslon Pro" w:cs="Arial"/>
          <w:sz w:val="22"/>
          <w:szCs w:val="22"/>
          <w:lang w:val="es-MX" w:eastAsia="en-US"/>
        </w:rPr>
        <w:t xml:space="preserve">Para los casos de desocupación y pago de manera enunciativa y no limitativa deberá contener lo que aplique según sea el caso que se encuentre la propiedad de acuerdo con la tenencia de la tierra y los documentos presentados para verificar los derechos posesionarios adquiridos. </w:t>
      </w:r>
    </w:p>
    <w:p w:rsidR="00FE02BE" w:rsidRPr="00F40252" w:rsidRDefault="00DE06CB" w:rsidP="00F40252">
      <w:pPr>
        <w:spacing w:before="240" w:after="240"/>
        <w:jc w:val="both"/>
        <w:rPr>
          <w:rFonts w:ascii="Adobe Caslon Pro" w:hAnsi="Adobe Caslon Pro" w:cs="Arial"/>
          <w:sz w:val="22"/>
          <w:szCs w:val="22"/>
          <w:lang w:val="es-MX" w:eastAsia="en-US"/>
        </w:rPr>
      </w:pPr>
      <w:r>
        <w:rPr>
          <w:rFonts w:ascii="Adobe Caslon Pro" w:hAnsi="Adobe Caslon Pro" w:cs="Arial"/>
          <w:sz w:val="22"/>
          <w:szCs w:val="22"/>
          <w:lang w:val="es-MX" w:eastAsia="en-US"/>
        </w:rPr>
        <w:t>E</w:t>
      </w:r>
      <w:r w:rsidRPr="001B24C6">
        <w:rPr>
          <w:rFonts w:ascii="Adobe Caslon Pro" w:hAnsi="Adobe Caslon Pro" w:cs="Arial"/>
          <w:sz w:val="22"/>
          <w:szCs w:val="22"/>
          <w:lang w:val="es-MX" w:eastAsia="en-US"/>
        </w:rPr>
        <w:t>l prestador de servicio será el responsable de coadyuvar con la Contratante para ubicar e integrar en su caso, la falta de documentación que se determine derivado de la verificación y revisión de los expedientes.</w:t>
      </w:r>
    </w:p>
    <w:p w:rsidR="00D066BB" w:rsidRDefault="00D066BB" w:rsidP="006E3591">
      <w:pPr>
        <w:autoSpaceDE w:val="0"/>
        <w:autoSpaceDN w:val="0"/>
        <w:adjustRightInd w:val="0"/>
        <w:spacing w:before="240" w:after="240"/>
        <w:jc w:val="both"/>
        <w:rPr>
          <w:rFonts w:ascii="Adobe Caslon Pro" w:hAnsi="Adobe Caslon Pro" w:cs="Arial"/>
          <w:b/>
          <w:sz w:val="22"/>
          <w:szCs w:val="22"/>
          <w:lang w:val="es-MX" w:eastAsia="en-US"/>
        </w:rPr>
      </w:pPr>
    </w:p>
    <w:p w:rsidR="00D066BB" w:rsidRDefault="00D066BB" w:rsidP="006E3591">
      <w:pPr>
        <w:autoSpaceDE w:val="0"/>
        <w:autoSpaceDN w:val="0"/>
        <w:adjustRightInd w:val="0"/>
        <w:spacing w:before="240" w:after="240"/>
        <w:jc w:val="both"/>
        <w:rPr>
          <w:rFonts w:ascii="Adobe Caslon Pro" w:hAnsi="Adobe Caslon Pro" w:cs="Arial"/>
          <w:b/>
          <w:sz w:val="22"/>
          <w:szCs w:val="22"/>
          <w:lang w:val="es-MX" w:eastAsia="en-US"/>
        </w:rPr>
      </w:pPr>
    </w:p>
    <w:p w:rsidR="007315A2" w:rsidRPr="00535446" w:rsidRDefault="007315A2" w:rsidP="006E3591">
      <w:pPr>
        <w:autoSpaceDE w:val="0"/>
        <w:autoSpaceDN w:val="0"/>
        <w:adjustRightInd w:val="0"/>
        <w:spacing w:before="240" w:after="240"/>
        <w:jc w:val="both"/>
        <w:rPr>
          <w:rFonts w:ascii="Adobe Caslon Pro" w:hAnsi="Adobe Caslon Pro" w:cs="Arial"/>
          <w:b/>
          <w:sz w:val="22"/>
          <w:szCs w:val="22"/>
          <w:lang w:val="es-MX" w:eastAsia="en-US"/>
        </w:rPr>
      </w:pPr>
      <w:r w:rsidRPr="00535446">
        <w:rPr>
          <w:rFonts w:ascii="Adobe Caslon Pro" w:hAnsi="Adobe Caslon Pro" w:cs="Arial"/>
          <w:b/>
          <w:sz w:val="22"/>
          <w:szCs w:val="22"/>
          <w:lang w:val="es-MX" w:eastAsia="en-US"/>
        </w:rPr>
        <w:t>MEDICIÓN:</w:t>
      </w:r>
    </w:p>
    <w:p w:rsidR="00F40252" w:rsidRDefault="00DE06CB" w:rsidP="006E3591">
      <w:pPr>
        <w:autoSpaceDE w:val="0"/>
        <w:autoSpaceDN w:val="0"/>
        <w:adjustRightInd w:val="0"/>
        <w:spacing w:before="240" w:after="240"/>
        <w:jc w:val="both"/>
        <w:rPr>
          <w:rFonts w:ascii="Adobe Caslon Pro" w:hAnsi="Adobe Caslon Pro" w:cs="Arial"/>
          <w:sz w:val="22"/>
          <w:szCs w:val="22"/>
          <w:lang w:val="es-MX" w:eastAsia="en-US"/>
        </w:rPr>
      </w:pPr>
      <w:r>
        <w:rPr>
          <w:rFonts w:ascii="Adobe Caslon Pro" w:hAnsi="Adobe Caslon Pro" w:cs="Arial"/>
          <w:sz w:val="22"/>
          <w:szCs w:val="22"/>
          <w:lang w:val="es-MX" w:eastAsia="en-US"/>
        </w:rPr>
        <w:t>La medición de los servicios</w:t>
      </w:r>
      <w:r w:rsidR="007315A2" w:rsidRPr="00AC6791">
        <w:rPr>
          <w:rFonts w:ascii="Adobe Caslon Pro" w:hAnsi="Adobe Caslon Pro" w:cs="Arial"/>
          <w:sz w:val="22"/>
          <w:szCs w:val="22"/>
          <w:lang w:val="es-MX" w:eastAsia="en-US"/>
        </w:rPr>
        <w:t xml:space="preserve"> a ejecutar se hará tomando como base </w:t>
      </w:r>
      <w:r w:rsidR="009D2AA3">
        <w:rPr>
          <w:rFonts w:ascii="Adobe Caslon Pro" w:hAnsi="Adobe Caslon Pro" w:cs="Arial"/>
          <w:sz w:val="22"/>
          <w:szCs w:val="22"/>
          <w:lang w:val="es-MX" w:eastAsia="en-US"/>
        </w:rPr>
        <w:t>el dictamen</w:t>
      </w:r>
      <w:r w:rsidR="007315A2" w:rsidRPr="00AC6791">
        <w:rPr>
          <w:rFonts w:ascii="Adobe Caslon Pro" w:hAnsi="Adobe Caslon Pro" w:cs="Arial"/>
          <w:sz w:val="22"/>
          <w:szCs w:val="22"/>
          <w:lang w:val="es-MX" w:eastAsia="en-US"/>
        </w:rPr>
        <w:t xml:space="preserve">, se tomará como unidad de medida </w:t>
      </w:r>
      <w:r w:rsidR="00EE4D51">
        <w:rPr>
          <w:rFonts w:ascii="Adobe Caslon Pro" w:hAnsi="Adobe Caslon Pro" w:cs="Arial"/>
          <w:sz w:val="22"/>
          <w:szCs w:val="22"/>
          <w:lang w:val="es-MX" w:eastAsia="en-US"/>
        </w:rPr>
        <w:t xml:space="preserve">el </w:t>
      </w:r>
      <w:r w:rsidR="00EE4D51" w:rsidRPr="00D066BB">
        <w:rPr>
          <w:rFonts w:ascii="Adobe Caslon Pro" w:hAnsi="Adobe Caslon Pro" w:cs="Arial"/>
          <w:b/>
          <w:sz w:val="22"/>
          <w:szCs w:val="22"/>
          <w:lang w:val="es-MX" w:eastAsia="en-US"/>
        </w:rPr>
        <w:t>EXPEDIENTE</w:t>
      </w:r>
      <w:r w:rsidR="003A17B7">
        <w:rPr>
          <w:rFonts w:ascii="Adobe Caslon Pro" w:hAnsi="Adobe Caslon Pro" w:cs="Arial"/>
          <w:sz w:val="22"/>
          <w:szCs w:val="22"/>
          <w:lang w:val="es-MX" w:eastAsia="en-US"/>
        </w:rPr>
        <w:t xml:space="preserve"> de r</w:t>
      </w:r>
      <w:r w:rsidR="007315A2" w:rsidRPr="00AC6791">
        <w:rPr>
          <w:rFonts w:ascii="Adobe Caslon Pro" w:hAnsi="Adobe Caslon Pro" w:cs="Arial"/>
          <w:sz w:val="22"/>
          <w:szCs w:val="22"/>
          <w:lang w:val="es-MX" w:eastAsia="en-US"/>
        </w:rPr>
        <w:t>evisión y verificación con aproximación a cero decimales.</w:t>
      </w:r>
    </w:p>
    <w:p w:rsidR="007315A2" w:rsidRPr="006E3591" w:rsidRDefault="007315A2" w:rsidP="006E3591">
      <w:pPr>
        <w:autoSpaceDE w:val="0"/>
        <w:autoSpaceDN w:val="0"/>
        <w:adjustRightInd w:val="0"/>
        <w:spacing w:before="240" w:after="240"/>
        <w:jc w:val="both"/>
        <w:rPr>
          <w:rFonts w:ascii="Adobe Caslon Pro" w:hAnsi="Adobe Caslon Pro" w:cs="Arial"/>
          <w:b/>
          <w:sz w:val="22"/>
          <w:szCs w:val="22"/>
          <w:lang w:val="es-MX" w:eastAsia="en-US"/>
        </w:rPr>
      </w:pPr>
      <w:r w:rsidRPr="00535446">
        <w:rPr>
          <w:rFonts w:ascii="Adobe Caslon Pro" w:hAnsi="Adobe Caslon Pro" w:cs="Arial"/>
          <w:b/>
          <w:sz w:val="22"/>
          <w:szCs w:val="22"/>
          <w:lang w:val="es-MX" w:eastAsia="en-US"/>
        </w:rPr>
        <w:t>BASE DE PAGO:</w:t>
      </w:r>
    </w:p>
    <w:p w:rsidR="007315A2" w:rsidRPr="007315A2" w:rsidRDefault="007315A2" w:rsidP="006E3591">
      <w:pPr>
        <w:spacing w:before="240" w:after="240"/>
        <w:jc w:val="both"/>
        <w:rPr>
          <w:lang w:val="es-MX"/>
        </w:rPr>
      </w:pPr>
      <w:r w:rsidRPr="00AC6791">
        <w:rPr>
          <w:rFonts w:ascii="Adobe Caslon Pro" w:hAnsi="Adobe Caslon Pro" w:cs="Arial"/>
          <w:sz w:val="22"/>
          <w:szCs w:val="22"/>
          <w:lang w:val="es-MX" w:eastAsia="en-US"/>
        </w:rPr>
        <w:t>El p</w:t>
      </w:r>
      <w:r w:rsidR="009010F2">
        <w:rPr>
          <w:rFonts w:ascii="Adobe Caslon Pro" w:hAnsi="Adobe Caslon Pro" w:cs="Arial"/>
          <w:sz w:val="22"/>
          <w:szCs w:val="22"/>
          <w:lang w:val="es-MX" w:eastAsia="en-US"/>
        </w:rPr>
        <w:t>ago por unidad de los servicios realizados</w:t>
      </w:r>
      <w:r w:rsidRPr="00AC6791">
        <w:rPr>
          <w:rFonts w:ascii="Adobe Caslon Pro" w:hAnsi="Adobe Caslon Pro" w:cs="Arial"/>
          <w:sz w:val="22"/>
          <w:szCs w:val="22"/>
          <w:lang w:val="es-MX" w:eastAsia="en-US"/>
        </w:rPr>
        <w:t xml:space="preserve">, se hará al precio fijado en el contrato por </w:t>
      </w:r>
      <w:r w:rsidR="003A17B7">
        <w:rPr>
          <w:rFonts w:ascii="Adobe Caslon Pro" w:hAnsi="Adobe Caslon Pro" w:cs="Arial"/>
          <w:sz w:val="22"/>
          <w:szCs w:val="22"/>
          <w:lang w:val="es-MX" w:eastAsia="en-US"/>
        </w:rPr>
        <w:t>dictamen</w:t>
      </w:r>
      <w:r w:rsidRPr="00AC6791">
        <w:rPr>
          <w:rFonts w:ascii="Adobe Caslon Pro" w:hAnsi="Adobe Caslon Pro" w:cs="Arial"/>
          <w:sz w:val="22"/>
          <w:szCs w:val="22"/>
          <w:lang w:val="es-MX" w:eastAsia="en-US"/>
        </w:rPr>
        <w:t xml:space="preserve"> de revisión y verificación</w:t>
      </w:r>
      <w:r w:rsidR="009D2AA3">
        <w:rPr>
          <w:rFonts w:ascii="Adobe Caslon Pro" w:hAnsi="Adobe Caslon Pro" w:cs="Arial"/>
          <w:sz w:val="22"/>
          <w:szCs w:val="22"/>
          <w:lang w:val="es-MX" w:eastAsia="en-US"/>
        </w:rPr>
        <w:t xml:space="preserve"> de cada expediente</w:t>
      </w:r>
      <w:r w:rsidRPr="00AC6791">
        <w:rPr>
          <w:rFonts w:ascii="Adobe Caslon Pro" w:hAnsi="Adobe Caslon Pro" w:cs="Arial"/>
          <w:sz w:val="22"/>
          <w:szCs w:val="22"/>
          <w:lang w:val="es-MX" w:eastAsia="en-US"/>
        </w:rPr>
        <w:t xml:space="preserve">, este precio unitario incluye lo que corresponda por materiales de papelería, gráfico y demás que se requiera, </w:t>
      </w:r>
      <w:r w:rsidRPr="00DE06CB">
        <w:rPr>
          <w:rFonts w:ascii="Adobe Caslon Pro" w:hAnsi="Adobe Caslon Pro" w:cs="Arial"/>
          <w:sz w:val="22"/>
          <w:szCs w:val="22"/>
          <w:lang w:val="es-MX" w:eastAsia="en-US"/>
        </w:rPr>
        <w:t>equipos de transportación,</w:t>
      </w:r>
      <w:r w:rsidRPr="00AC6791">
        <w:rPr>
          <w:rFonts w:ascii="Adobe Caslon Pro" w:hAnsi="Adobe Caslon Pro" w:cs="Arial"/>
          <w:sz w:val="22"/>
          <w:szCs w:val="22"/>
          <w:lang w:val="es-MX" w:eastAsia="en-US"/>
        </w:rPr>
        <w:t xml:space="preserve"> de comunicación, de procesamiento electrónico, de impresión, fotográfico y demás que se requiera; personal técnico y </w:t>
      </w:r>
      <w:r w:rsidRPr="00DE06CB">
        <w:rPr>
          <w:rFonts w:ascii="Adobe Caslon Pro" w:hAnsi="Adobe Caslon Pro" w:cs="Arial"/>
          <w:sz w:val="22"/>
          <w:szCs w:val="22"/>
          <w:lang w:val="es-MX" w:eastAsia="en-US"/>
        </w:rPr>
        <w:t>administrativo, traslados y viáticos</w:t>
      </w:r>
      <w:r w:rsidRPr="00AC6791">
        <w:rPr>
          <w:rFonts w:ascii="Adobe Caslon Pro" w:hAnsi="Adobe Caslon Pro" w:cs="Arial"/>
          <w:sz w:val="22"/>
          <w:szCs w:val="22"/>
          <w:lang w:val="es-MX" w:eastAsia="en-US"/>
        </w:rPr>
        <w:t xml:space="preserve"> dentro y fuera de la zon</w:t>
      </w:r>
      <w:r w:rsidR="00DE06CB">
        <w:rPr>
          <w:rFonts w:ascii="Adobe Caslon Pro" w:hAnsi="Adobe Caslon Pro" w:cs="Arial"/>
          <w:sz w:val="22"/>
          <w:szCs w:val="22"/>
          <w:lang w:val="es-MX" w:eastAsia="en-US"/>
        </w:rPr>
        <w:t>a donde se realicen los servicios</w:t>
      </w:r>
      <w:r w:rsidRPr="00AC6791">
        <w:rPr>
          <w:rFonts w:ascii="Adobe Caslon Pro" w:hAnsi="Adobe Caslon Pro" w:cs="Arial"/>
          <w:sz w:val="22"/>
          <w:szCs w:val="22"/>
          <w:lang w:val="es-MX" w:eastAsia="en-US"/>
        </w:rPr>
        <w:t>; utilización de software y lo demás necesario para la corre</w:t>
      </w:r>
      <w:r w:rsidR="00DE06CB">
        <w:rPr>
          <w:rFonts w:ascii="Adobe Caslon Pro" w:hAnsi="Adobe Caslon Pro" w:cs="Arial"/>
          <w:sz w:val="22"/>
          <w:szCs w:val="22"/>
          <w:lang w:val="es-MX" w:eastAsia="en-US"/>
        </w:rPr>
        <w:t>cta presentación de los servicios</w:t>
      </w:r>
      <w:r w:rsidRPr="00AC6791">
        <w:rPr>
          <w:rFonts w:ascii="Adobe Caslon Pro" w:hAnsi="Adobe Caslon Pro" w:cs="Arial"/>
          <w:sz w:val="22"/>
          <w:szCs w:val="22"/>
          <w:lang w:val="es-MX" w:eastAsia="en-US"/>
        </w:rPr>
        <w:t xml:space="preserve"> en los tiempos y formas establecidos por la</w:t>
      </w:r>
      <w:r w:rsidR="00EB6816">
        <w:rPr>
          <w:rFonts w:ascii="Adobe Caslon Pro" w:hAnsi="Adobe Caslon Pro" w:cs="Arial"/>
          <w:sz w:val="22"/>
          <w:szCs w:val="22"/>
          <w:lang w:val="es-MX" w:eastAsia="en-US"/>
        </w:rPr>
        <w:t xml:space="preserve"> Contratante.</w:t>
      </w:r>
      <w:bookmarkStart w:id="0" w:name="_GoBack"/>
      <w:bookmarkEnd w:id="0"/>
    </w:p>
    <w:sectPr w:rsidR="007315A2" w:rsidRPr="007315A2" w:rsidSect="00476CD4">
      <w:headerReference w:type="default" r:id="rId7"/>
      <w:footerReference w:type="default" r:id="rId8"/>
      <w:pgSz w:w="12240" w:h="15840"/>
      <w:pgMar w:top="1418" w:right="1701" w:bottom="851" w:left="1701"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F6048" w:rsidRDefault="001F6048" w:rsidP="00476CD4">
      <w:r>
        <w:separator/>
      </w:r>
    </w:p>
  </w:endnote>
  <w:endnote w:type="continuationSeparator" w:id="0">
    <w:p w:rsidR="001F6048" w:rsidRDefault="001F6048" w:rsidP="00476C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dobe Caslon Pro">
    <w:altName w:val="Georgia"/>
    <w:panose1 w:val="00000000000000000000"/>
    <w:charset w:val="00"/>
    <w:family w:val="roman"/>
    <w:notTrueType/>
    <w:pitch w:val="variable"/>
    <w:sig w:usb0="800000AF" w:usb1="5000205B" w:usb2="00000000" w:usb3="00000000" w:csb0="0000009B"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dobe Caslon Pro Bold">
    <w:altName w:val="Times New Roman"/>
    <w:panose1 w:val="00000000000000000000"/>
    <w:charset w:val="00"/>
    <w:family w:val="roman"/>
    <w:notTrueType/>
    <w:pitch w:val="variable"/>
    <w:sig w:usb0="00000007" w:usb1="00000001"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dobe Caslon Pro" w:hAnsi="Adobe Caslon Pro"/>
        <w:color w:val="A6A6A6" w:themeColor="background1" w:themeShade="A6"/>
        <w:sz w:val="16"/>
      </w:rPr>
      <w:id w:val="-1953853925"/>
      <w:docPartObj>
        <w:docPartGallery w:val="Page Numbers (Bottom of Page)"/>
        <w:docPartUnique/>
      </w:docPartObj>
    </w:sdtPr>
    <w:sdtEndPr/>
    <w:sdtContent>
      <w:sdt>
        <w:sdtPr>
          <w:rPr>
            <w:rFonts w:ascii="Adobe Caslon Pro" w:hAnsi="Adobe Caslon Pro"/>
            <w:color w:val="A6A6A6" w:themeColor="background1" w:themeShade="A6"/>
            <w:sz w:val="16"/>
          </w:rPr>
          <w:id w:val="860082579"/>
          <w:docPartObj>
            <w:docPartGallery w:val="Page Numbers (Top of Page)"/>
            <w:docPartUnique/>
          </w:docPartObj>
        </w:sdtPr>
        <w:sdtEndPr/>
        <w:sdtContent>
          <w:p w:rsidR="00476CD4" w:rsidRPr="00476CD4" w:rsidRDefault="00476CD4" w:rsidP="00476CD4">
            <w:pPr>
              <w:spacing w:line="240" w:lineRule="exact"/>
              <w:contextualSpacing/>
              <w:jc w:val="center"/>
              <w:rPr>
                <w:rFonts w:ascii="Adobe Caslon Pro" w:hAnsi="Adobe Caslon Pro"/>
                <w:color w:val="A6A6A6" w:themeColor="background1" w:themeShade="A6"/>
                <w:sz w:val="16"/>
                <w:lang w:val="es-MX"/>
              </w:rPr>
            </w:pPr>
            <w:r w:rsidRPr="00476CD4">
              <w:rPr>
                <w:rFonts w:ascii="Adobe Caslon Pro" w:hAnsi="Adobe Caslon Pro"/>
                <w:color w:val="A6A6A6" w:themeColor="background1" w:themeShade="A6"/>
                <w:sz w:val="16"/>
                <w:lang w:val="es-MX"/>
              </w:rPr>
              <w:t>Nueva York # 115. C.P. 03810.  Col. Nápoles. Del. Benito Juárez. México D.F.</w:t>
            </w:r>
          </w:p>
          <w:p w:rsidR="00476CD4" w:rsidRPr="00476CD4" w:rsidRDefault="00476CD4" w:rsidP="00476CD4">
            <w:pPr>
              <w:spacing w:line="240" w:lineRule="exact"/>
              <w:contextualSpacing/>
              <w:jc w:val="center"/>
              <w:rPr>
                <w:color w:val="A6A6A6" w:themeColor="background1" w:themeShade="A6"/>
                <w:lang w:val="es-MX"/>
              </w:rPr>
            </w:pPr>
            <w:r w:rsidRPr="00476CD4">
              <w:rPr>
                <w:rFonts w:ascii="Adobe Caslon Pro" w:hAnsi="Adobe Caslon Pro"/>
                <w:color w:val="A6A6A6" w:themeColor="background1" w:themeShade="A6"/>
                <w:sz w:val="16"/>
                <w:lang w:val="es-MX"/>
              </w:rPr>
              <w:t>Tel: (55) 5723 9300 ext. 19800     www.sct.gob.mx</w:t>
            </w:r>
          </w:p>
          <w:p w:rsidR="00476CD4" w:rsidRPr="00476CD4" w:rsidRDefault="00476CD4" w:rsidP="00476CD4">
            <w:pPr>
              <w:jc w:val="right"/>
              <w:rPr>
                <w:rFonts w:ascii="Adobe Caslon Pro" w:hAnsi="Adobe Caslon Pro"/>
                <w:color w:val="A6A6A6" w:themeColor="background1" w:themeShade="A6"/>
                <w:sz w:val="16"/>
                <w:lang w:val="es-MX"/>
              </w:rPr>
            </w:pPr>
            <w:r w:rsidRPr="00476CD4">
              <w:rPr>
                <w:rFonts w:ascii="Adobe Caslon Pro" w:hAnsi="Adobe Caslon Pro"/>
                <w:color w:val="A6A6A6" w:themeColor="background1" w:themeShade="A6"/>
                <w:sz w:val="16"/>
                <w:lang w:val="es-MX"/>
              </w:rPr>
              <w:t xml:space="preserve">Página </w:t>
            </w:r>
            <w:r w:rsidR="00FB6E9A" w:rsidRPr="007D1AD9">
              <w:rPr>
                <w:rFonts w:ascii="Adobe Caslon Pro" w:hAnsi="Adobe Caslon Pro"/>
                <w:color w:val="A6A6A6" w:themeColor="background1" w:themeShade="A6"/>
                <w:sz w:val="16"/>
              </w:rPr>
              <w:fldChar w:fldCharType="begin"/>
            </w:r>
            <w:r w:rsidRPr="00476CD4">
              <w:rPr>
                <w:rFonts w:ascii="Adobe Caslon Pro" w:hAnsi="Adobe Caslon Pro"/>
                <w:color w:val="A6A6A6" w:themeColor="background1" w:themeShade="A6"/>
                <w:sz w:val="16"/>
                <w:lang w:val="es-MX"/>
              </w:rPr>
              <w:instrText>PAGE</w:instrText>
            </w:r>
            <w:r w:rsidR="00FB6E9A" w:rsidRPr="007D1AD9">
              <w:rPr>
                <w:rFonts w:ascii="Adobe Caslon Pro" w:hAnsi="Adobe Caslon Pro"/>
                <w:color w:val="A6A6A6" w:themeColor="background1" w:themeShade="A6"/>
                <w:sz w:val="16"/>
              </w:rPr>
              <w:fldChar w:fldCharType="separate"/>
            </w:r>
            <w:r w:rsidR="00D066BB">
              <w:rPr>
                <w:rFonts w:ascii="Adobe Caslon Pro" w:hAnsi="Adobe Caslon Pro"/>
                <w:noProof/>
                <w:color w:val="A6A6A6" w:themeColor="background1" w:themeShade="A6"/>
                <w:sz w:val="16"/>
                <w:lang w:val="es-MX"/>
              </w:rPr>
              <w:t>2</w:t>
            </w:r>
            <w:r w:rsidR="00FB6E9A" w:rsidRPr="007D1AD9">
              <w:rPr>
                <w:rFonts w:ascii="Adobe Caslon Pro" w:hAnsi="Adobe Caslon Pro"/>
                <w:color w:val="A6A6A6" w:themeColor="background1" w:themeShade="A6"/>
                <w:sz w:val="16"/>
              </w:rPr>
              <w:fldChar w:fldCharType="end"/>
            </w:r>
            <w:r w:rsidRPr="00476CD4">
              <w:rPr>
                <w:rFonts w:ascii="Adobe Caslon Pro" w:hAnsi="Adobe Caslon Pro"/>
                <w:color w:val="A6A6A6" w:themeColor="background1" w:themeShade="A6"/>
                <w:sz w:val="16"/>
                <w:lang w:val="es-MX"/>
              </w:rPr>
              <w:t xml:space="preserve"> de </w:t>
            </w:r>
            <w:r w:rsidR="00FB6E9A" w:rsidRPr="007D1AD9">
              <w:rPr>
                <w:rFonts w:ascii="Adobe Caslon Pro" w:hAnsi="Adobe Caslon Pro"/>
                <w:color w:val="A6A6A6" w:themeColor="background1" w:themeShade="A6"/>
                <w:sz w:val="16"/>
              </w:rPr>
              <w:fldChar w:fldCharType="begin"/>
            </w:r>
            <w:r w:rsidRPr="00476CD4">
              <w:rPr>
                <w:rFonts w:ascii="Adobe Caslon Pro" w:hAnsi="Adobe Caslon Pro"/>
                <w:color w:val="A6A6A6" w:themeColor="background1" w:themeShade="A6"/>
                <w:sz w:val="16"/>
                <w:lang w:val="es-MX"/>
              </w:rPr>
              <w:instrText>NUMPAGES</w:instrText>
            </w:r>
            <w:r w:rsidR="00FB6E9A" w:rsidRPr="007D1AD9">
              <w:rPr>
                <w:rFonts w:ascii="Adobe Caslon Pro" w:hAnsi="Adobe Caslon Pro"/>
                <w:color w:val="A6A6A6" w:themeColor="background1" w:themeShade="A6"/>
                <w:sz w:val="16"/>
              </w:rPr>
              <w:fldChar w:fldCharType="separate"/>
            </w:r>
            <w:r w:rsidR="00D066BB">
              <w:rPr>
                <w:rFonts w:ascii="Adobe Caslon Pro" w:hAnsi="Adobe Caslon Pro"/>
                <w:noProof/>
                <w:color w:val="A6A6A6" w:themeColor="background1" w:themeShade="A6"/>
                <w:sz w:val="16"/>
                <w:lang w:val="es-MX"/>
              </w:rPr>
              <w:t>2</w:t>
            </w:r>
            <w:r w:rsidR="00FB6E9A" w:rsidRPr="007D1AD9">
              <w:rPr>
                <w:rFonts w:ascii="Adobe Caslon Pro" w:hAnsi="Adobe Caslon Pro"/>
                <w:color w:val="A6A6A6" w:themeColor="background1" w:themeShade="A6"/>
                <w:sz w:val="16"/>
              </w:rPr>
              <w:fldChar w:fldCharType="end"/>
            </w:r>
          </w:p>
        </w:sdtContent>
      </w:sdt>
    </w:sdtContent>
  </w:sdt>
  <w:p w:rsidR="00476CD4" w:rsidRPr="00476CD4" w:rsidRDefault="00476CD4" w:rsidP="00476CD4">
    <w:pPr>
      <w:pStyle w:val="Piedepgina"/>
      <w:rPr>
        <w:lang w:val="es-MX"/>
      </w:rPr>
    </w:pPr>
  </w:p>
  <w:p w:rsidR="00476CD4" w:rsidRPr="00476CD4" w:rsidRDefault="00476CD4">
    <w:pPr>
      <w:pStyle w:val="Piedepgina"/>
      <w:rPr>
        <w:lang w:val="es-MX"/>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F6048" w:rsidRDefault="001F6048" w:rsidP="00476CD4">
      <w:r>
        <w:separator/>
      </w:r>
    </w:p>
  </w:footnote>
  <w:footnote w:type="continuationSeparator" w:id="0">
    <w:p w:rsidR="001F6048" w:rsidRDefault="001F6048" w:rsidP="00476C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76CD4" w:rsidRPr="00476CD4" w:rsidRDefault="00476CD4" w:rsidP="00476CD4">
    <w:pPr>
      <w:pStyle w:val="Encabezado"/>
      <w:jc w:val="right"/>
      <w:rPr>
        <w:rFonts w:ascii="Adobe Caslon Pro Bold" w:hAnsi="Adobe Caslon Pro Bold"/>
        <w:sz w:val="18"/>
        <w:lang w:val="es-MX"/>
      </w:rPr>
    </w:pPr>
    <w:r w:rsidRPr="00476CD4">
      <w:rPr>
        <w:rFonts w:ascii="Adobe Caslon Pro Bold" w:hAnsi="Adobe Caslon Pro Bold"/>
        <w:noProof/>
        <w:sz w:val="18"/>
        <w:lang w:val="es-MX"/>
      </w:rPr>
      <w:drawing>
        <wp:anchor distT="0" distB="0" distL="114300" distR="114300" simplePos="0" relativeHeight="251658240" behindDoc="0" locked="0" layoutInCell="1" allowOverlap="1">
          <wp:simplePos x="0" y="0"/>
          <wp:positionH relativeFrom="column">
            <wp:posOffset>3810</wp:posOffset>
          </wp:positionH>
          <wp:positionV relativeFrom="paragraph">
            <wp:posOffset>-3810</wp:posOffset>
          </wp:positionV>
          <wp:extent cx="2067560" cy="733425"/>
          <wp:effectExtent l="0" t="0" r="8890" b="9525"/>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CT_Oficio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67560" cy="733425"/>
                  </a:xfrm>
                  <a:prstGeom prst="rect">
                    <a:avLst/>
                  </a:prstGeom>
                </pic:spPr>
              </pic:pic>
            </a:graphicData>
          </a:graphic>
        </wp:anchor>
      </w:drawing>
    </w:r>
    <w:r w:rsidRPr="00476CD4">
      <w:rPr>
        <w:rFonts w:ascii="Adobe Caslon Pro Bold" w:hAnsi="Adobe Caslon Pro Bold"/>
        <w:sz w:val="18"/>
        <w:lang w:val="es-MX"/>
      </w:rPr>
      <w:t>Subsecretaría de Transporte</w:t>
    </w:r>
  </w:p>
  <w:p w:rsidR="00476CD4" w:rsidRDefault="00476CD4" w:rsidP="00476CD4">
    <w:pPr>
      <w:pStyle w:val="Encabezado"/>
      <w:jc w:val="right"/>
      <w:rPr>
        <w:rFonts w:ascii="Adobe Caslon Pro Bold" w:hAnsi="Adobe Caslon Pro Bold"/>
        <w:sz w:val="18"/>
        <w:lang w:val="es-MX"/>
      </w:rPr>
    </w:pPr>
    <w:r w:rsidRPr="00476CD4">
      <w:rPr>
        <w:rFonts w:ascii="Adobe Caslon Pro Bold" w:hAnsi="Adobe Caslon Pro Bold"/>
        <w:sz w:val="18"/>
        <w:lang w:val="es-MX"/>
      </w:rPr>
      <w:t>Dirección General de Transporte Ferroviario y Multimodal</w:t>
    </w:r>
  </w:p>
  <w:p w:rsidR="00476CD4" w:rsidRDefault="00476CD4" w:rsidP="00476CD4">
    <w:pPr>
      <w:pStyle w:val="Encabezado"/>
      <w:jc w:val="right"/>
      <w:rPr>
        <w:rFonts w:ascii="Adobe Caslon Pro Bold" w:hAnsi="Adobe Caslon Pro Bold"/>
        <w:sz w:val="18"/>
        <w:lang w:val="es-MX"/>
      </w:rPr>
    </w:pPr>
  </w:p>
  <w:p w:rsidR="00476CD4" w:rsidRPr="00476CD4" w:rsidRDefault="00476CD4" w:rsidP="00476CD4">
    <w:pPr>
      <w:pStyle w:val="Encabezado"/>
      <w:jc w:val="right"/>
      <w:rPr>
        <w:rFonts w:ascii="Adobe Caslon Pro Bold" w:hAnsi="Adobe Caslon Pro Bold"/>
        <w:sz w:val="18"/>
        <w:lang w:val="es-MX"/>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796662"/>
    <w:multiLevelType w:val="hybridMultilevel"/>
    <w:tmpl w:val="81283EF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3C13509"/>
    <w:multiLevelType w:val="hybridMultilevel"/>
    <w:tmpl w:val="5F70E780"/>
    <w:lvl w:ilvl="0" w:tplc="0C0A000F">
      <w:start w:val="1"/>
      <w:numFmt w:val="decimal"/>
      <w:lvlText w:val="%1."/>
      <w:lvlJc w:val="left"/>
      <w:pPr>
        <w:ind w:left="720" w:hanging="360"/>
      </w:pPr>
      <w:rPr>
        <w:rFonts w:hint="default"/>
      </w:rPr>
    </w:lvl>
    <w:lvl w:ilvl="1" w:tplc="E0DCF684">
      <w:start w:val="1"/>
      <w:numFmt w:val="bullet"/>
      <w:lvlText w:val=""/>
      <w:lvlJc w:val="left"/>
      <w:pPr>
        <w:ind w:left="1440" w:hanging="360"/>
      </w:pPr>
      <w:rPr>
        <w:rFonts w:ascii="Adobe Caslon Pro" w:eastAsiaTheme="minorEastAsia" w:hAnsi="Adobe Caslon Pro" w:cs="Aria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66865EE"/>
    <w:multiLevelType w:val="multilevel"/>
    <w:tmpl w:val="68FAA9EC"/>
    <w:lvl w:ilvl="0">
      <w:start w:val="1"/>
      <w:numFmt w:val="decimal"/>
      <w:lvlText w:val="%1."/>
      <w:lvlJc w:val="left"/>
      <w:pPr>
        <w:ind w:left="465" w:hanging="465"/>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3">
    <w:nsid w:val="072B3906"/>
    <w:multiLevelType w:val="hybridMultilevel"/>
    <w:tmpl w:val="930EFECC"/>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4">
    <w:nsid w:val="08D4550E"/>
    <w:multiLevelType w:val="multilevel"/>
    <w:tmpl w:val="781C495E"/>
    <w:lvl w:ilvl="0">
      <w:start w:val="1"/>
      <w:numFmt w:val="decimal"/>
      <w:lvlText w:val="%1."/>
      <w:lvlJc w:val="left"/>
      <w:pPr>
        <w:ind w:left="720" w:hanging="360"/>
      </w:pPr>
    </w:lvl>
    <w:lvl w:ilvl="1">
      <w:start w:val="421"/>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nsid w:val="0D9542A9"/>
    <w:multiLevelType w:val="hybridMultilevel"/>
    <w:tmpl w:val="A8E270F2"/>
    <w:lvl w:ilvl="0" w:tplc="AE6CD4BC">
      <w:start w:val="1"/>
      <w:numFmt w:val="decimal"/>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6">
    <w:nsid w:val="0FED24EC"/>
    <w:multiLevelType w:val="hybridMultilevel"/>
    <w:tmpl w:val="7A245B6E"/>
    <w:lvl w:ilvl="0" w:tplc="6380BB06">
      <w:start w:val="1"/>
      <w:numFmt w:val="decimal"/>
      <w:lvlText w:val="%1."/>
      <w:lvlJc w:val="left"/>
      <w:pPr>
        <w:ind w:left="360" w:hanging="360"/>
      </w:pPr>
      <w:rPr>
        <w:rFonts w:hint="default"/>
        <w:b/>
      </w:rPr>
    </w:lvl>
    <w:lvl w:ilvl="1" w:tplc="0E7AE12A">
      <w:start w:val="1"/>
      <w:numFmt w:val="decimal"/>
      <w:lvlText w:val="27.0%2"/>
      <w:lvlJc w:val="left"/>
      <w:pPr>
        <w:ind w:left="1080" w:hanging="360"/>
      </w:pPr>
      <w:rPr>
        <w:rFonts w:hint="default"/>
        <w:b/>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
    <w:nsid w:val="18536A2D"/>
    <w:multiLevelType w:val="hybridMultilevel"/>
    <w:tmpl w:val="90A20454"/>
    <w:lvl w:ilvl="0" w:tplc="D5C456A4">
      <w:start w:val="1"/>
      <w:numFmt w:val="upperLetter"/>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8">
    <w:nsid w:val="1D631041"/>
    <w:multiLevelType w:val="multilevel"/>
    <w:tmpl w:val="6B8C6106"/>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nsid w:val="33255C1F"/>
    <w:multiLevelType w:val="hybridMultilevel"/>
    <w:tmpl w:val="B7D84A3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441818B2"/>
    <w:multiLevelType w:val="hybridMultilevel"/>
    <w:tmpl w:val="3782087E"/>
    <w:lvl w:ilvl="0" w:tplc="09F0B12C">
      <w:start w:val="1"/>
      <w:numFmt w:val="decimal"/>
      <w:lvlText w:val="%1."/>
      <w:lvlJc w:val="left"/>
      <w:pPr>
        <w:ind w:left="644" w:hanging="360"/>
      </w:pPr>
      <w:rPr>
        <w:rFonts w:hint="default"/>
        <w:b/>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1">
    <w:nsid w:val="45506256"/>
    <w:multiLevelType w:val="hybridMultilevel"/>
    <w:tmpl w:val="F9EC560A"/>
    <w:lvl w:ilvl="0" w:tplc="D5C456A4">
      <w:start w:val="1"/>
      <w:numFmt w:val="upperLetter"/>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12">
    <w:nsid w:val="4770606F"/>
    <w:multiLevelType w:val="hybridMultilevel"/>
    <w:tmpl w:val="6D4EBFB8"/>
    <w:lvl w:ilvl="0" w:tplc="080A000F">
      <w:start w:val="1"/>
      <w:numFmt w:val="decimal"/>
      <w:lvlText w:val="%1."/>
      <w:lvlJc w:val="left"/>
      <w:pPr>
        <w:ind w:left="644" w:hanging="360"/>
      </w:pPr>
      <w:rPr>
        <w:rFonts w:hint="default"/>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3">
    <w:nsid w:val="495A4C90"/>
    <w:multiLevelType w:val="hybridMultilevel"/>
    <w:tmpl w:val="5FEC666E"/>
    <w:lvl w:ilvl="0" w:tplc="0C0A000F">
      <w:start w:val="1"/>
      <w:numFmt w:val="decimal"/>
      <w:lvlText w:val="%1."/>
      <w:lvlJc w:val="left"/>
      <w:pPr>
        <w:ind w:left="1004" w:hanging="360"/>
      </w:p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4">
    <w:nsid w:val="4B5E1AEA"/>
    <w:multiLevelType w:val="hybridMultilevel"/>
    <w:tmpl w:val="6E1EFFB4"/>
    <w:lvl w:ilvl="0" w:tplc="0C0A0001">
      <w:start w:val="1"/>
      <w:numFmt w:val="bullet"/>
      <w:lvlText w:val=""/>
      <w:lvlJc w:val="left"/>
      <w:pPr>
        <w:ind w:left="1287" w:hanging="360"/>
      </w:pPr>
      <w:rPr>
        <w:rFonts w:ascii="Symbol" w:hAnsi="Symbol" w:hint="default"/>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15">
    <w:nsid w:val="4FA53039"/>
    <w:multiLevelType w:val="hybridMultilevel"/>
    <w:tmpl w:val="6D4EBFB8"/>
    <w:lvl w:ilvl="0" w:tplc="080A000F">
      <w:start w:val="1"/>
      <w:numFmt w:val="decimal"/>
      <w:lvlText w:val="%1."/>
      <w:lvlJc w:val="left"/>
      <w:pPr>
        <w:ind w:left="644" w:hanging="360"/>
      </w:pPr>
      <w:rPr>
        <w:rFonts w:hint="default"/>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6">
    <w:nsid w:val="52B23AB5"/>
    <w:multiLevelType w:val="hybridMultilevel"/>
    <w:tmpl w:val="D4346AA0"/>
    <w:lvl w:ilvl="0" w:tplc="0C0A000F">
      <w:start w:val="1"/>
      <w:numFmt w:val="decimal"/>
      <w:lvlText w:val="%1."/>
      <w:lvlJc w:val="lef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7">
    <w:nsid w:val="640558A3"/>
    <w:multiLevelType w:val="multilevel"/>
    <w:tmpl w:val="69C6516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72590C99"/>
    <w:multiLevelType w:val="multilevel"/>
    <w:tmpl w:val="C7348C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7A28105B"/>
    <w:multiLevelType w:val="multilevel"/>
    <w:tmpl w:val="56F68310"/>
    <w:lvl w:ilvl="0">
      <w:start w:val="3"/>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7EA554E3"/>
    <w:multiLevelType w:val="hybridMultilevel"/>
    <w:tmpl w:val="6D4EBFB8"/>
    <w:lvl w:ilvl="0" w:tplc="080A000F">
      <w:start w:val="1"/>
      <w:numFmt w:val="decimal"/>
      <w:lvlText w:val="%1."/>
      <w:lvlJc w:val="left"/>
      <w:pPr>
        <w:ind w:left="644" w:hanging="360"/>
      </w:pPr>
      <w:rPr>
        <w:rFonts w:hint="default"/>
      </w:rPr>
    </w:lvl>
    <w:lvl w:ilvl="1" w:tplc="F0BAC8D2">
      <w:start w:val="1"/>
      <w:numFmt w:val="decimal"/>
      <w:lvlText w:val="29.0%2"/>
      <w:lvlJc w:val="left"/>
      <w:pPr>
        <w:ind w:left="1080" w:hanging="360"/>
      </w:pPr>
      <w:rPr>
        <w:rFonts w:hint="default"/>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num w:numId="1">
    <w:abstractNumId w:val="4"/>
  </w:num>
  <w:num w:numId="2">
    <w:abstractNumId w:val="6"/>
  </w:num>
  <w:num w:numId="3">
    <w:abstractNumId w:val="10"/>
  </w:num>
  <w:num w:numId="4">
    <w:abstractNumId w:val="15"/>
  </w:num>
  <w:num w:numId="5">
    <w:abstractNumId w:val="12"/>
  </w:num>
  <w:num w:numId="6">
    <w:abstractNumId w:val="20"/>
  </w:num>
  <w:num w:numId="7">
    <w:abstractNumId w:val="3"/>
  </w:num>
  <w:num w:numId="8">
    <w:abstractNumId w:val="0"/>
  </w:num>
  <w:num w:numId="9">
    <w:abstractNumId w:val="2"/>
  </w:num>
  <w:num w:numId="10">
    <w:abstractNumId w:val="17"/>
  </w:num>
  <w:num w:numId="11">
    <w:abstractNumId w:val="8"/>
  </w:num>
  <w:num w:numId="12">
    <w:abstractNumId w:val="19"/>
  </w:num>
  <w:num w:numId="13">
    <w:abstractNumId w:val="18"/>
  </w:num>
  <w:num w:numId="14">
    <w:abstractNumId w:val="16"/>
  </w:num>
  <w:num w:numId="15">
    <w:abstractNumId w:val="1"/>
  </w:num>
  <w:num w:numId="16">
    <w:abstractNumId w:val="9"/>
  </w:num>
  <w:num w:numId="17">
    <w:abstractNumId w:val="7"/>
  </w:num>
  <w:num w:numId="18">
    <w:abstractNumId w:val="5"/>
  </w:num>
  <w:num w:numId="19">
    <w:abstractNumId w:val="14"/>
  </w:num>
  <w:num w:numId="20">
    <w:abstractNumId w:val="11"/>
  </w:num>
  <w:num w:numId="2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6AD8"/>
    <w:rsid w:val="00025D6A"/>
    <w:rsid w:val="00040B0B"/>
    <w:rsid w:val="00043426"/>
    <w:rsid w:val="00063910"/>
    <w:rsid w:val="00072B4B"/>
    <w:rsid w:val="000F40A4"/>
    <w:rsid w:val="0013116A"/>
    <w:rsid w:val="001536F0"/>
    <w:rsid w:val="00171423"/>
    <w:rsid w:val="001A015D"/>
    <w:rsid w:val="001C2004"/>
    <w:rsid w:val="001C7EEE"/>
    <w:rsid w:val="001D1AB7"/>
    <w:rsid w:val="001E0573"/>
    <w:rsid w:val="001E3A66"/>
    <w:rsid w:val="001F6048"/>
    <w:rsid w:val="00215770"/>
    <w:rsid w:val="00245783"/>
    <w:rsid w:val="00257925"/>
    <w:rsid w:val="00291662"/>
    <w:rsid w:val="002C44D3"/>
    <w:rsid w:val="002E58D2"/>
    <w:rsid w:val="002E5D49"/>
    <w:rsid w:val="00362E92"/>
    <w:rsid w:val="003745B2"/>
    <w:rsid w:val="003A17B7"/>
    <w:rsid w:val="003B103B"/>
    <w:rsid w:val="004011F1"/>
    <w:rsid w:val="00467E1E"/>
    <w:rsid w:val="00476CD4"/>
    <w:rsid w:val="004A0BB8"/>
    <w:rsid w:val="005079C8"/>
    <w:rsid w:val="00602C12"/>
    <w:rsid w:val="00610F53"/>
    <w:rsid w:val="00614111"/>
    <w:rsid w:val="00642199"/>
    <w:rsid w:val="00652B30"/>
    <w:rsid w:val="00691358"/>
    <w:rsid w:val="006B6585"/>
    <w:rsid w:val="006E3591"/>
    <w:rsid w:val="006E5239"/>
    <w:rsid w:val="007244F0"/>
    <w:rsid w:val="007315A2"/>
    <w:rsid w:val="0075009D"/>
    <w:rsid w:val="00787368"/>
    <w:rsid w:val="007B6AD8"/>
    <w:rsid w:val="007D4C1E"/>
    <w:rsid w:val="007E0674"/>
    <w:rsid w:val="007E30B0"/>
    <w:rsid w:val="0080551B"/>
    <w:rsid w:val="00816E24"/>
    <w:rsid w:val="00837A66"/>
    <w:rsid w:val="0085103B"/>
    <w:rsid w:val="00871572"/>
    <w:rsid w:val="00871B4C"/>
    <w:rsid w:val="00872813"/>
    <w:rsid w:val="00876CE0"/>
    <w:rsid w:val="008A2CE0"/>
    <w:rsid w:val="008B08E5"/>
    <w:rsid w:val="008D307B"/>
    <w:rsid w:val="008E055D"/>
    <w:rsid w:val="008E2AC9"/>
    <w:rsid w:val="0090053E"/>
    <w:rsid w:val="009010F2"/>
    <w:rsid w:val="00901BE9"/>
    <w:rsid w:val="00907AEC"/>
    <w:rsid w:val="009357EB"/>
    <w:rsid w:val="009520C7"/>
    <w:rsid w:val="009B36DC"/>
    <w:rsid w:val="009D2AA3"/>
    <w:rsid w:val="009D67F7"/>
    <w:rsid w:val="00A33C0E"/>
    <w:rsid w:val="00A909E0"/>
    <w:rsid w:val="00B46256"/>
    <w:rsid w:val="00B65B17"/>
    <w:rsid w:val="00BE3354"/>
    <w:rsid w:val="00C0185E"/>
    <w:rsid w:val="00C13CAB"/>
    <w:rsid w:val="00C248EF"/>
    <w:rsid w:val="00C5713E"/>
    <w:rsid w:val="00CC3C30"/>
    <w:rsid w:val="00CE00D5"/>
    <w:rsid w:val="00D066BB"/>
    <w:rsid w:val="00D256D7"/>
    <w:rsid w:val="00DB7463"/>
    <w:rsid w:val="00DE06CB"/>
    <w:rsid w:val="00DE342A"/>
    <w:rsid w:val="00E45C68"/>
    <w:rsid w:val="00EB6816"/>
    <w:rsid w:val="00EE4D51"/>
    <w:rsid w:val="00F40252"/>
    <w:rsid w:val="00F45AD2"/>
    <w:rsid w:val="00FB6E9A"/>
    <w:rsid w:val="00FE02B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5C0621A-1ED1-4EDE-8C5A-BFA7D3081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B6AD8"/>
    <w:pPr>
      <w:widowControl w:val="0"/>
      <w:kinsoku w:val="0"/>
      <w:spacing w:after="0" w:line="240" w:lineRule="auto"/>
    </w:pPr>
    <w:rPr>
      <w:rFonts w:ascii="Times New Roman" w:eastAsiaTheme="minorEastAsia" w:hAnsi="Times New Roman" w:cs="Times New Roman"/>
      <w:sz w:val="24"/>
      <w:szCs w:val="24"/>
      <w:lang w:val="en-US"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7B6AD8"/>
    <w:pPr>
      <w:spacing w:after="0" w:line="240" w:lineRule="auto"/>
    </w:pPr>
    <w:rPr>
      <w:rFonts w:eastAsiaTheme="minorEastAsia"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7B6AD8"/>
    <w:rPr>
      <w:rFonts w:ascii="Tahoma" w:hAnsi="Tahoma" w:cs="Tahoma"/>
      <w:sz w:val="16"/>
      <w:szCs w:val="16"/>
    </w:rPr>
  </w:style>
  <w:style w:type="character" w:customStyle="1" w:styleId="TextodegloboCar">
    <w:name w:val="Texto de globo Car"/>
    <w:basedOn w:val="Fuentedeprrafopredeter"/>
    <w:link w:val="Textodeglobo"/>
    <w:uiPriority w:val="99"/>
    <w:semiHidden/>
    <w:rsid w:val="007B6AD8"/>
    <w:rPr>
      <w:rFonts w:ascii="Tahoma" w:eastAsiaTheme="minorEastAsia" w:hAnsi="Tahoma" w:cs="Tahoma"/>
      <w:sz w:val="16"/>
      <w:szCs w:val="16"/>
      <w:lang w:val="en-US" w:eastAsia="es-MX"/>
    </w:rPr>
  </w:style>
  <w:style w:type="paragraph" w:styleId="Prrafodelista">
    <w:name w:val="List Paragraph"/>
    <w:basedOn w:val="Normal"/>
    <w:uiPriority w:val="34"/>
    <w:qFormat/>
    <w:rsid w:val="007B6AD8"/>
    <w:pPr>
      <w:ind w:left="720"/>
      <w:contextualSpacing/>
    </w:pPr>
  </w:style>
  <w:style w:type="paragraph" w:styleId="Encabezado">
    <w:name w:val="header"/>
    <w:basedOn w:val="Normal"/>
    <w:link w:val="EncabezadoCar"/>
    <w:uiPriority w:val="99"/>
    <w:unhideWhenUsed/>
    <w:rsid w:val="007B6AD8"/>
    <w:pPr>
      <w:tabs>
        <w:tab w:val="center" w:pos="4419"/>
        <w:tab w:val="right" w:pos="8838"/>
      </w:tabs>
    </w:pPr>
  </w:style>
  <w:style w:type="character" w:customStyle="1" w:styleId="EncabezadoCar">
    <w:name w:val="Encabezado Car"/>
    <w:basedOn w:val="Fuentedeprrafopredeter"/>
    <w:link w:val="Encabezado"/>
    <w:uiPriority w:val="99"/>
    <w:rsid w:val="007B6AD8"/>
    <w:rPr>
      <w:rFonts w:ascii="Times New Roman" w:eastAsiaTheme="minorEastAsia" w:hAnsi="Times New Roman" w:cs="Times New Roman"/>
      <w:sz w:val="24"/>
      <w:szCs w:val="24"/>
      <w:lang w:val="en-US" w:eastAsia="es-MX"/>
    </w:rPr>
  </w:style>
  <w:style w:type="paragraph" w:styleId="Piedepgina">
    <w:name w:val="footer"/>
    <w:basedOn w:val="Normal"/>
    <w:link w:val="PiedepginaCar"/>
    <w:uiPriority w:val="99"/>
    <w:unhideWhenUsed/>
    <w:rsid w:val="007B6AD8"/>
    <w:pPr>
      <w:tabs>
        <w:tab w:val="center" w:pos="4419"/>
        <w:tab w:val="right" w:pos="8838"/>
      </w:tabs>
    </w:pPr>
  </w:style>
  <w:style w:type="character" w:customStyle="1" w:styleId="PiedepginaCar">
    <w:name w:val="Pie de página Car"/>
    <w:basedOn w:val="Fuentedeprrafopredeter"/>
    <w:link w:val="Piedepgina"/>
    <w:uiPriority w:val="99"/>
    <w:rsid w:val="007B6AD8"/>
    <w:rPr>
      <w:rFonts w:ascii="Times New Roman" w:eastAsiaTheme="minorEastAsia" w:hAnsi="Times New Roman" w:cs="Times New Roman"/>
      <w:sz w:val="24"/>
      <w:szCs w:val="24"/>
      <w:lang w:val="en-US" w:eastAsia="es-MX"/>
    </w:rPr>
  </w:style>
  <w:style w:type="paragraph" w:customStyle="1" w:styleId="BodyText22">
    <w:name w:val="Body Text 22"/>
    <w:basedOn w:val="Normal"/>
    <w:rsid w:val="007315A2"/>
    <w:pPr>
      <w:widowControl/>
      <w:kinsoku/>
      <w:ind w:left="851"/>
      <w:jc w:val="both"/>
    </w:pPr>
    <w:rPr>
      <w:rFonts w:ascii="Arial" w:eastAsia="Times New Roman" w:hAnsi="Arial"/>
      <w:color w:val="00000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89337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TotalTime>
  <Pages>2</Pages>
  <Words>569</Words>
  <Characters>3131</Characters>
  <Application>Microsoft Office Word</Application>
  <DocSecurity>0</DocSecurity>
  <Lines>26</Lines>
  <Paragraphs>7</Paragraphs>
  <ScaleCrop>false</ScaleCrop>
  <HeadingPairs>
    <vt:vector size="2" baseType="variant">
      <vt:variant>
        <vt:lpstr>Título</vt:lpstr>
      </vt:variant>
      <vt:variant>
        <vt:i4>1</vt:i4>
      </vt:variant>
    </vt:vector>
  </HeadingPairs>
  <TitlesOfParts>
    <vt:vector size="1" baseType="lpstr">
      <vt:lpstr/>
    </vt:vector>
  </TitlesOfParts>
  <Company>Secretaria de Comunicaciones y Transportes</Company>
  <LinksUpToDate>false</LinksUpToDate>
  <CharactersWithSpaces>3693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Felipe Zambrano de Lucio</dc:creator>
  <cp:lastModifiedBy>adper</cp:lastModifiedBy>
  <cp:revision>12</cp:revision>
  <cp:lastPrinted>2018-07-11T14:57:00Z</cp:lastPrinted>
  <dcterms:created xsi:type="dcterms:W3CDTF">2018-07-06T15:28:00Z</dcterms:created>
  <dcterms:modified xsi:type="dcterms:W3CDTF">2018-07-11T15:04:00Z</dcterms:modified>
</cp:coreProperties>
</file>